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3"/>
        <w:numPr>
          <w:ilvl w:val="2"/>
          <w:numId w:val="1"/>
        </w:numPr>
        <w:tabs>
          <w:tab w:leader="none" w:pos="9214" w:val="right"/>
        </w:tabs>
        <w:spacing w:after="240" w:before="0"/>
        <w:ind w:hanging="0" w:left="0" w:right="-1"/>
        <w:jc w:val="both"/>
      </w:pPr>
      <w:r>
        <w:rPr>
          <w:rFonts w:ascii="Times New Roman" w:cs="Times New Roman" w:hAnsi="Times New Roman"/>
          <w:szCs w:val="24"/>
        </w:rPr>
        <w:t>Problema  3 – towerx</w:t>
        <w:tab/>
        <w:t>100 puncte</w:t>
        <w:pict/>
      </w:r>
    </w:p>
    <w:p>
      <w:pPr>
        <w:pStyle w:val="style2"/>
        <w:numPr>
          <w:ilvl w:val="1"/>
          <w:numId w:val="1"/>
        </w:numPr>
        <w:spacing w:after="120" w:before="0"/>
        <w:ind w:hanging="0" w:left="0" w:right="-1"/>
      </w:pPr>
      <w:r>
        <w:rPr>
          <w:b w:val="false"/>
          <w:sz w:val="24"/>
          <w:szCs w:val="22"/>
          <w:lang w:val="ro-RO"/>
        </w:rPr>
        <w:t>Se consideră un șir format din N numere naturale indexate de la 1 la N. Inițial șirul conține numai valori nule și se va completa cu numere naturale după cum urmează. Se parcurge de mai multe ori șirul de la poziția 1 la poziția N și ori de câte ori se întâlnește o valoare nulă</w:t>
      </w:r>
      <w:bookmarkStart w:id="0" w:name="_GoBack"/>
      <w:bookmarkEnd w:id="0"/>
      <w:r>
        <w:rPr>
          <w:b w:val="false"/>
          <w:sz w:val="24"/>
          <w:szCs w:val="22"/>
          <w:lang w:val="ro-RO"/>
        </w:rPr>
        <w:t xml:space="preserve"> se înlocuiește cu cea mai mică valoare nenulă X care nu există în șir. În același timp toate valorile nenule și strict mai mici decât X se înlocuiesc cu zero. Parcurgerile se opresc în momentul în care șirul conține numai valori nenule.</w:t>
      </w:r>
    </w:p>
    <w:p>
      <w:pPr>
        <w:pStyle w:val="style2"/>
        <w:numPr>
          <w:ilvl w:val="1"/>
          <w:numId w:val="1"/>
        </w:numPr>
        <w:spacing w:after="120" w:before="0"/>
        <w:ind w:hanging="0" w:left="0" w:right="-1"/>
      </w:pPr>
      <w:r>
        <w:rPr>
          <w:sz w:val="24"/>
          <w:szCs w:val="24"/>
          <w:lang w:val="ro-RO"/>
        </w:rPr>
        <w:t>Cerinţă</w:t>
      </w:r>
    </w:p>
    <w:p>
      <w:pPr>
        <w:pStyle w:val="style0"/>
        <w:spacing w:after="120" w:before="0"/>
        <w:ind w:hanging="0" w:left="0" w:right="-1"/>
        <w:jc w:val="both"/>
      </w:pPr>
      <w:r>
        <w:rPr>
          <w:szCs w:val="22"/>
          <w:lang w:eastAsia="en-US"/>
        </w:rPr>
        <w:t>Cunoscând N să se determine șirul în forma finala.</w:t>
      </w:r>
    </w:p>
    <w:p>
      <w:pPr>
        <w:pStyle w:val="style2"/>
        <w:numPr>
          <w:ilvl w:val="1"/>
          <w:numId w:val="1"/>
        </w:numPr>
        <w:spacing w:after="120" w:before="0"/>
        <w:ind w:hanging="0" w:left="0" w:right="-1"/>
      </w:pPr>
      <w:r>
        <w:rPr>
          <w:bCs/>
          <w:sz w:val="24"/>
          <w:lang w:val="ro-RO"/>
        </w:rPr>
        <w:t>Date de intrare</w:t>
      </w:r>
    </w:p>
    <w:p>
      <w:pPr>
        <w:pStyle w:val="style0"/>
        <w:spacing w:after="120" w:before="0"/>
        <w:ind w:hanging="0" w:left="0" w:right="-1"/>
        <w:jc w:val="both"/>
      </w:pPr>
      <w:r>
        <w:rPr>
          <w:szCs w:val="22"/>
        </w:rPr>
        <w:t xml:space="preserve">Fişierul de intrare </w:t>
      </w:r>
      <w:r>
        <w:rPr>
          <w:rFonts w:ascii="Courier New" w:hAnsi="Courier New"/>
          <w:szCs w:val="22"/>
        </w:rPr>
        <w:t>towerx.in</w:t>
      </w:r>
      <w:r>
        <w:rPr>
          <w:szCs w:val="22"/>
        </w:rPr>
        <w:t xml:space="preserve"> conţine pe prima linie un număr natural nenul N – lungimea șirului.</w:t>
      </w:r>
    </w:p>
    <w:p>
      <w:pPr>
        <w:pStyle w:val="style2"/>
        <w:numPr>
          <w:ilvl w:val="1"/>
          <w:numId w:val="1"/>
        </w:numPr>
        <w:spacing w:after="120" w:before="0"/>
        <w:ind w:hanging="0" w:left="0" w:right="-1"/>
      </w:pPr>
      <w:r>
        <w:rPr>
          <w:bCs/>
          <w:sz w:val="24"/>
          <w:lang w:val="ro-RO"/>
        </w:rPr>
        <w:t>Date de ieşire</w:t>
      </w:r>
    </w:p>
    <w:p>
      <w:pPr>
        <w:pStyle w:val="style0"/>
        <w:spacing w:after="120" w:before="0"/>
        <w:ind w:hanging="0" w:left="0" w:right="-1"/>
        <w:jc w:val="both"/>
      </w:pPr>
      <w:r>
        <w:rPr>
          <w:sz w:val="26"/>
          <w:szCs w:val="22"/>
        </w:rPr>
        <w:t xml:space="preserve">Fişierul de ieşire </w:t>
      </w:r>
      <w:r>
        <w:rPr>
          <w:rFonts w:ascii="Courier New" w:cs="Courier New" w:hAnsi="Courier New"/>
          <w:sz w:val="26"/>
          <w:szCs w:val="22"/>
        </w:rPr>
        <w:t>towerx</w:t>
      </w:r>
      <w:r>
        <w:rPr>
          <w:rFonts w:ascii="Courier New" w:hAnsi="Courier New"/>
          <w:sz w:val="26"/>
          <w:szCs w:val="22"/>
        </w:rPr>
        <w:t>.out</w:t>
      </w:r>
      <w:r>
        <w:rPr>
          <w:sz w:val="26"/>
          <w:szCs w:val="22"/>
        </w:rPr>
        <w:t xml:space="preserve"> va conţine pe prima linie N numere naturale separate prin câte un spațiu reprezentând elementele șirului în forma finală. </w:t>
      </w:r>
    </w:p>
    <w:p>
      <w:pPr>
        <w:pStyle w:val="style2"/>
        <w:numPr>
          <w:ilvl w:val="1"/>
          <w:numId w:val="1"/>
        </w:numPr>
        <w:spacing w:after="120" w:before="120"/>
        <w:ind w:hanging="0" w:left="0" w:right="-1"/>
      </w:pPr>
      <w:r>
        <w:rPr>
          <w:sz w:val="24"/>
          <w:szCs w:val="24"/>
          <w:lang w:val="ro-RO"/>
        </w:rPr>
        <w:t>Restricţii şi precizări</w:t>
      </w:r>
    </w:p>
    <w:p>
      <w:pPr>
        <w:pStyle w:val="style0"/>
        <w:numPr>
          <w:ilvl w:val="0"/>
          <w:numId w:val="2"/>
        </w:numPr>
        <w:ind w:hanging="357" w:left="357" w:right="-1"/>
        <w:jc w:val="both"/>
      </w:pPr>
      <w:r>
        <w:rPr>
          <w:rFonts w:ascii="Courier New" w:eastAsia="Garamond+1" w:hAnsi="Courier New"/>
          <w:szCs w:val="22"/>
        </w:rPr>
        <w:t>1 &lt;= N &lt;= 10000</w:t>
      </w:r>
    </w:p>
    <w:p>
      <w:pPr>
        <w:pStyle w:val="style0"/>
        <w:spacing w:after="120" w:before="0"/>
        <w:ind w:hanging="0" w:left="0" w:right="-1"/>
        <w:jc w:val="both"/>
      </w:pPr>
      <w:r>
        <w:rPr>
          <w:b/>
          <w:szCs w:val="22"/>
        </w:rPr>
      </w:r>
    </w:p>
    <w:p>
      <w:pPr>
        <w:pStyle w:val="style0"/>
        <w:spacing w:after="120" w:before="0"/>
        <w:ind w:hanging="0" w:left="0" w:right="-1"/>
        <w:jc w:val="both"/>
      </w:pPr>
      <w:r>
        <w:rPr>
          <w:b/>
          <w:szCs w:val="22"/>
        </w:rPr>
        <w:t>Exemplu</w:t>
      </w:r>
    </w:p>
    <w:tbl>
      <w:tblPr>
        <w:jc w:val="left"/>
        <w:tblInd w:type="dxa" w:w="-108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2087"/>
        <w:gridCol w:w="2272"/>
        <w:gridCol w:w="6009"/>
      </w:tblGrid>
      <w:tr>
        <w:trPr>
          <w:trHeight w:hRule="atLeast" w:val="40"/>
          <w:cantSplit w:val="false"/>
        </w:trPr>
        <w:tc>
          <w:tcPr>
            <w:tcW w:type="dxa" w:w="20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  <w:jc w:val="both"/>
            </w:pPr>
            <w:r>
              <w:rPr>
                <w:rFonts w:ascii="Courier New" w:hAnsi="Courier New"/>
                <w:szCs w:val="22"/>
              </w:rPr>
              <w:t>towerx.in</w:t>
            </w:r>
          </w:p>
        </w:tc>
        <w:tc>
          <w:tcPr>
            <w:tcW w:type="dxa" w:w="22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  <w:jc w:val="both"/>
            </w:pPr>
            <w:r>
              <w:rPr>
                <w:rFonts w:ascii="Courier New" w:hAnsi="Courier New"/>
                <w:szCs w:val="22"/>
              </w:rPr>
              <w:t>towerx.out</w:t>
            </w:r>
          </w:p>
        </w:tc>
        <w:tc>
          <w:tcPr>
            <w:tcW w:type="dxa" w:w="60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  <w:jc w:val="center"/>
            </w:pPr>
            <w:r>
              <w:rPr>
                <w:i/>
                <w:szCs w:val="22"/>
              </w:rPr>
              <w:t>Explicaţie</w:t>
            </w:r>
          </w:p>
        </w:tc>
      </w:tr>
      <w:tr>
        <w:trPr>
          <w:trHeight w:hRule="atLeast" w:val="1090"/>
          <w:cantSplit w:val="false"/>
        </w:trPr>
        <w:tc>
          <w:tcPr>
            <w:tcW w:type="dxa" w:w="20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  <w:jc w:val="both"/>
            </w:pPr>
            <w:r>
              <w:rPr>
                <w:rFonts w:ascii="Courier New" w:hAnsi="Courier New"/>
                <w:szCs w:val="22"/>
              </w:rPr>
              <w:t>3</w:t>
            </w:r>
          </w:p>
        </w:tc>
        <w:tc>
          <w:tcPr>
            <w:tcW w:type="dxa" w:w="22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  <w:jc w:val="both"/>
            </w:pPr>
            <w:r>
              <w:rPr>
                <w:rFonts w:ascii="Courier New" w:hAnsi="Courier New"/>
                <w:szCs w:val="22"/>
              </w:rPr>
              <w:t>3 1 2</w:t>
            </w:r>
          </w:p>
        </w:tc>
        <w:tc>
          <w:tcPr>
            <w:tcW w:type="dxa" w:w="60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Șirul trece prin următoarele forme.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0 0 0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1 0 0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0 2 0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0 2 1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3 0 0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3 1 0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3 0 2</w:t>
            </w:r>
          </w:p>
          <w:p>
            <w:pPr>
              <w:pStyle w:val="style21"/>
              <w:ind w:hanging="0" w:left="0" w:right="-1"/>
            </w:pPr>
            <w:r>
              <w:rPr>
                <w:rFonts w:ascii="Courier New" w:cs="Courier New" w:hAnsi="Courier New"/>
                <w:sz w:val="24"/>
                <w:szCs w:val="22"/>
                <w:lang w:val="ro-RO"/>
              </w:rPr>
              <w:t>3 1 2</w:t>
            </w:r>
          </w:p>
        </w:tc>
      </w:tr>
    </w:tbl>
    <w:p>
      <w:pPr>
        <w:pStyle w:val="style21"/>
        <w:ind w:hanging="0" w:left="0" w:right="-1"/>
      </w:pPr>
      <w:r>
        <w:rPr>
          <w:b/>
          <w:sz w:val="24"/>
          <w:szCs w:val="22"/>
          <w:lang w:val="ro-RO"/>
        </w:rPr>
      </w:r>
    </w:p>
    <w:p>
      <w:pPr>
        <w:pStyle w:val="style0"/>
        <w:ind w:hanging="0" w:left="0" w:right="-1"/>
        <w:jc w:val="both"/>
      </w:pPr>
      <w:r>
        <w:rPr>
          <w:rFonts w:ascii="Courier New" w:cs="Courier New" w:hAnsi="Courier New"/>
          <w:b/>
          <w:sz w:val="26"/>
        </w:rPr>
      </w:r>
    </w:p>
    <w:p>
      <w:pPr>
        <w:pStyle w:val="style0"/>
        <w:ind w:hanging="0" w:left="0" w:right="-1"/>
        <w:jc w:val="both"/>
      </w:pPr>
      <w:r>
        <w:rPr>
          <w:rFonts w:eastAsia="MS Mincho"/>
          <w:b/>
          <w:bCs/>
          <w:lang w:val="pt-BR"/>
        </w:rPr>
        <w:t>Timp maxim de executare/test</w:t>
      </w:r>
      <w:r>
        <w:rPr>
          <w:rFonts w:eastAsia="MS Mincho"/>
          <w:lang w:val="pt-BR"/>
        </w:rPr>
        <w:t>: 0.6</w:t>
      </w:r>
      <w:r>
        <w:rPr>
          <w:sz w:val="20"/>
        </w:rPr>
        <w:t xml:space="preserve"> secunde</w:t>
      </w:r>
    </w:p>
    <w:p>
      <w:pPr>
        <w:pStyle w:val="style0"/>
        <w:ind w:hanging="0" w:left="0" w:right="-1"/>
        <w:jc w:val="both"/>
      </w:pPr>
      <w:r>
        <w:rPr>
          <w:b/>
          <w:bCs/>
        </w:rPr>
        <w:t>Limite de memorie</w:t>
      </w:r>
      <w:r>
        <w:rPr/>
        <w:t xml:space="preserve">: total memorie disponibilă 64 </w:t>
      </w:r>
      <w:r>
        <w:rPr>
          <w:b/>
          <w:sz w:val="20"/>
        </w:rPr>
        <w:t>MB</w:t>
      </w:r>
      <w:r>
        <w:rPr/>
        <w:t xml:space="preserve">, din care pentru stivă maxim 8 </w:t>
      </w:r>
      <w:r>
        <w:rPr>
          <w:b/>
          <w:sz w:val="20"/>
        </w:rPr>
        <w:t>MB</w:t>
      </w:r>
    </w:p>
    <w:p>
      <w:pPr>
        <w:pStyle w:val="style0"/>
        <w:ind w:hanging="0" w:left="0" w:right="-1"/>
        <w:jc w:val="both"/>
      </w:pPr>
      <w:r>
        <w:rPr>
          <w:b/>
        </w:rPr>
        <w:t>Dimensiunea maximă</w:t>
      </w:r>
      <w:r>
        <w:rPr/>
        <w:t xml:space="preserve"> a sursei </w:t>
      </w:r>
      <w:r>
        <w:rPr>
          <w:b/>
        </w:rPr>
        <w:t>20</w:t>
      </w:r>
      <w:r>
        <w:rPr>
          <w:b/>
          <w:sz w:val="20"/>
          <w:szCs w:val="20"/>
        </w:rPr>
        <w:t>KB</w:t>
      </w:r>
    </w:p>
    <w:p>
      <w:pPr>
        <w:pStyle w:val="style0"/>
        <w:spacing w:line="100" w:lineRule="atLeast"/>
        <w:ind w:hanging="0" w:left="0" w:right="-1"/>
        <w:jc w:val="both"/>
      </w:pPr>
      <w:r>
        <w:rPr/>
      </w:r>
    </w:p>
    <w:p>
      <w:pPr>
        <w:pStyle w:val="style0"/>
        <w:ind w:hanging="0" w:left="0" w:right="424"/>
        <w:jc w:val="both"/>
      </w:pPr>
      <w:r>
        <w:rPr/>
      </w:r>
    </w:p>
    <w:sectPr>
      <w:headerReference r:id="rId2" w:type="default"/>
      <w:footerReference r:id="rId3" w:type="default"/>
      <w:type w:val="nextPage"/>
      <w:pgSz w:h="16838" w:w="11906"/>
      <w:pgMar w:bottom="731" w:footer="266" w:gutter="0" w:header="709" w:left="1134" w:right="567" w:top="1418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6"/>
    </w:pPr>
    <w:r>
      <w:rPr/>
      <w:tab/>
      <w:tab/>
    </w:r>
  </w:p>
  <w:p>
    <w:pPr>
      <w:pStyle w:val="style26"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0"/>
      <w:tabs>
        <w:tab w:leader="none" w:pos="10260" w:val="right"/>
      </w:tabs>
    </w:pPr>
    <w:r>
      <w:rPr>
        <w:rFonts w:ascii="Arial Black" w:hAnsi="Arial Black"/>
        <w:b/>
        <w:sz w:val="20"/>
        <w:szCs w:val="20"/>
      </w:rPr>
      <w:t>Tabăra de pregătire a lotului naţional de informatică</w:t>
      <w:drawing>
        <wp:anchor allowOverlap="1" behindDoc="1" distB="0" distL="0" distR="0" distT="0" layoutInCell="1" locked="0" relativeHeight="0" simplePos="0">
          <wp:simplePos x="0" y="0"/>
          <wp:positionH relativeFrom="character">
            <wp:posOffset>4893310</wp:posOffset>
          </wp:positionH>
          <wp:positionV relativeFrom="line">
            <wp:posOffset>94615</wp:posOffset>
          </wp:positionV>
          <wp:extent cx="1319530" cy="574040"/>
          <wp:effectExtent b="0" l="0" r="0" t="0"/>
          <wp:wrapNone/>
          <wp:docPr descr="A description..."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A description..." id="0" name="Picture"/>
                  <pic:cNvPicPr>
                    <a:picLocks noChangeArrowheads="1"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574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style0"/>
      <w:tabs>
        <w:tab w:leader="none" w:pos="9923" w:val="right"/>
      </w:tabs>
    </w:pPr>
    <w:r>
      <w:rPr>
        <w:sz w:val="20"/>
        <w:szCs w:val="20"/>
      </w:rPr>
      <w:t>Deva, 20 aprilie – 27 aprilie 2013</w:t>
    </w:r>
    <w:r>
      <w:rPr>
        <w:b/>
      </w:rPr>
      <w:t xml:space="preserve"> </w:t>
      <w:tab/>
      <w:t xml:space="preserve"> </w:t>
    </w:r>
  </w:p>
  <w:p>
    <w:pPr>
      <w:pStyle w:val="style0"/>
      <w:tabs>
        <w:tab w:leader="none" w:pos="9639" w:val="right"/>
      </w:tabs>
    </w:pPr>
    <w:r>
      <w:rPr>
        <w:b/>
        <w:sz w:val="20"/>
        <w:szCs w:val="20"/>
      </w:rPr>
      <w:t>Baraj 1</w:t>
    </w:r>
    <w:r>
      <w:rPr>
        <w:rFonts w:ascii="Courier New" w:cs="Courier New" w:hAnsi="Courier New"/>
        <w:b/>
        <w:sz w:val="20"/>
        <w:szCs w:val="20"/>
      </w:rPr>
      <w:tab/>
    </w:r>
  </w:p>
  <w:p>
    <w:pPr>
      <w:pStyle w:val="style0"/>
    </w:pPr>
    <w:r>
      <w:rPr>
        <w:b/>
        <w:sz w:val="20"/>
        <w:szCs w:val="20"/>
      </w:rPr>
      <w:t>Sursa</w:t>
    </w:r>
    <w:r>
      <w:rPr>
        <w:sz w:val="20"/>
        <w:szCs w:val="20"/>
      </w:rPr>
      <w:t xml:space="preserve">: </w:t>
    </w:r>
    <w:r>
      <w:rPr>
        <w:rFonts w:ascii="Courier New" w:hAnsi="Courier New"/>
        <w:sz w:val="20"/>
        <w:szCs w:val="20"/>
      </w:rPr>
      <w:t>towerx</w:t>
    </w:r>
    <w:r>
      <w:rPr>
        <w:rFonts w:ascii="Courier New" w:cs="Courier New" w:hAnsi="Courier New"/>
        <w:sz w:val="20"/>
        <w:szCs w:val="20"/>
      </w:rPr>
      <w:t>.c,</w:t>
    </w:r>
    <w:r>
      <w:rPr>
        <w:rFonts w:ascii="Courier New" w:hAnsi="Courier New"/>
        <w:sz w:val="20"/>
        <w:szCs w:val="20"/>
      </w:rPr>
      <w:t xml:space="preserve"> towerx</w:t>
    </w:r>
    <w:r>
      <w:rPr>
        <w:rFonts w:ascii="Courier New" w:cs="Courier New" w:hAnsi="Courier New"/>
        <w:sz w:val="20"/>
        <w:szCs w:val="20"/>
      </w:rPr>
      <w:t xml:space="preserve">.cpp, </w:t>
    </w:r>
    <w:r>
      <w:rPr>
        <w:rFonts w:ascii="Courier New" w:hAnsi="Courier New"/>
        <w:sz w:val="20"/>
        <w:szCs w:val="20"/>
      </w:rPr>
      <w:t>towerx</w:t>
    </w:r>
    <w:r>
      <w:rPr>
        <w:rFonts w:ascii="Courier New" w:cs="Courier New" w:hAnsi="Courier New"/>
        <w:sz w:val="20"/>
        <w:szCs w:val="20"/>
      </w:rPr>
      <w:t xml:space="preserve">.pas </w:t>
    </w:r>
  </w:p>
  <w:p>
    <w:pPr>
      <w:pStyle w:val="style25"/>
    </w:pPr>
    <w:r>
      <w:rPr/>
      <w:tab/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2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cs="Symbol" w:hAnsi="Symbol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tabs>
        <w:tab w:leader="none" w:pos="708" w:val="left"/>
      </w:tabs>
      <w:suppressAutoHyphens w:val="true"/>
    </w:pPr>
    <w:rPr>
      <w:rFonts w:ascii="Times New Roman" w:cs="Times New Roman" w:eastAsia="Times New Roman" w:hAnsi="Times New Roman"/>
      <w:color w:val="auto"/>
      <w:sz w:val="24"/>
      <w:szCs w:val="24"/>
      <w:lang w:bidi="ar-SA" w:eastAsia="ro-RO" w:val="ro-RO"/>
    </w:rPr>
  </w:style>
  <w:style w:styleId="style2" w:type="paragraph">
    <w:name w:val="Heading 2"/>
    <w:basedOn w:val="style0"/>
    <w:next w:val="style21"/>
    <w:pPr>
      <w:keepNext/>
      <w:numPr>
        <w:ilvl w:val="1"/>
        <w:numId w:val="1"/>
      </w:numPr>
      <w:jc w:val="both"/>
      <w:outlineLvl w:val="1"/>
    </w:pPr>
    <w:rPr>
      <w:b/>
      <w:sz w:val="22"/>
      <w:szCs w:val="20"/>
      <w:lang w:eastAsia="en-US" w:val="en-US"/>
    </w:rPr>
  </w:style>
  <w:style w:styleId="style3" w:type="paragraph">
    <w:name w:val="Heading 3"/>
    <w:basedOn w:val="style0"/>
    <w:next w:val="style21"/>
    <w:pPr>
      <w:keepNext/>
      <w:numPr>
        <w:ilvl w:val="2"/>
        <w:numId w:val="1"/>
      </w:numPr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style15" w:type="character">
    <w:name w:val="Default Paragraph Font"/>
    <w:next w:val="style15"/>
    <w:rPr/>
  </w:style>
  <w:style w:styleId="style16" w:type="character">
    <w:name w:val="Subsol Caracter"/>
    <w:next w:val="style16"/>
    <w:rPr>
      <w:sz w:val="24"/>
      <w:szCs w:val="24"/>
      <w:lang w:eastAsia="ro-RO" w:val="ro-RO"/>
    </w:rPr>
  </w:style>
  <w:style w:styleId="style17" w:type="character">
    <w:name w:val="Corp text Caracter"/>
    <w:next w:val="style17"/>
    <w:rPr>
      <w:sz w:val="22"/>
    </w:rPr>
  </w:style>
  <w:style w:styleId="style18" w:type="character">
    <w:name w:val="ListLabel 1"/>
    <w:next w:val="style18"/>
    <w:rPr>
      <w:sz w:val="20"/>
    </w:rPr>
  </w:style>
  <w:style w:styleId="style19" w:type="character">
    <w:name w:val="ListLabel 2"/>
    <w:next w:val="style19"/>
    <w:rPr>
      <w:rFonts w:cs="Courier New"/>
    </w:rPr>
  </w:style>
  <w:style w:styleId="style20" w:type="paragraph">
    <w:name w:val="Heading"/>
    <w:basedOn w:val="style0"/>
    <w:next w:val="style21"/>
    <w:pPr>
      <w:keepNext/>
      <w:spacing w:after="120" w:before="240"/>
    </w:pPr>
    <w:rPr>
      <w:rFonts w:ascii="Arial" w:cs="Lohit Hindi" w:eastAsia="WenQuanYi Micro Hei" w:hAnsi="Arial"/>
      <w:sz w:val="28"/>
      <w:szCs w:val="28"/>
    </w:rPr>
  </w:style>
  <w:style w:styleId="style21" w:type="paragraph">
    <w:name w:val="Text body"/>
    <w:basedOn w:val="style0"/>
    <w:next w:val="style21"/>
    <w:pPr>
      <w:jc w:val="both"/>
    </w:pPr>
    <w:rPr>
      <w:sz w:val="22"/>
      <w:szCs w:val="20"/>
      <w:lang w:eastAsia="en-US" w:val="en-US"/>
    </w:rPr>
  </w:style>
  <w:style w:styleId="style22" w:type="paragraph">
    <w:name w:val="List"/>
    <w:basedOn w:val="style21"/>
    <w:next w:val="style22"/>
    <w:pPr/>
    <w:rPr>
      <w:rFonts w:cs="Lohit Hindi"/>
    </w:rPr>
  </w:style>
  <w:style w:styleId="style23" w:type="paragraph">
    <w:name w:val="Caption"/>
    <w:basedOn w:val="style0"/>
    <w:next w:val="style23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4" w:type="paragraph">
    <w:name w:val="Index"/>
    <w:basedOn w:val="style0"/>
    <w:next w:val="style24"/>
    <w:pPr>
      <w:suppressLineNumbers/>
    </w:pPr>
    <w:rPr>
      <w:rFonts w:cs="Lohit Hindi"/>
    </w:rPr>
  </w:style>
  <w:style w:styleId="style25" w:type="paragraph">
    <w:name w:val="Header"/>
    <w:basedOn w:val="style0"/>
    <w:next w:val="style25"/>
    <w:pPr>
      <w:suppressLineNumbers/>
      <w:tabs>
        <w:tab w:leader="none" w:pos="4536" w:val="center"/>
        <w:tab w:leader="none" w:pos="9072" w:val="right"/>
      </w:tabs>
    </w:pPr>
    <w:rPr/>
  </w:style>
  <w:style w:styleId="style26" w:type="paragraph">
    <w:name w:val="Footer"/>
    <w:basedOn w:val="style0"/>
    <w:next w:val="style26"/>
    <w:pPr>
      <w:suppressLineNumbers/>
      <w:tabs>
        <w:tab w:leader="none" w:pos="4536" w:val="center"/>
        <w:tab w:leader="none" w:pos="9072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2013-04-21T15:07:00.00Z</dcterms:created>
  <dc:creator>Elev</dc:creator>
  <cp:lastModifiedBy>Elev</cp:lastModifiedBy>
  <cp:lastPrinted>2013-04-21T16:30:00.00Z</cp:lastPrinted>
  <dcterms:modified xsi:type="dcterms:W3CDTF">2013-04-22T06:01:00.00Z</dcterms:modified>
  <cp:revision>10</cp:revision>
  <dc:subject>clasele 11-12</dc:subject>
  <dc:title>suma - oji 2011</dc:title>
</cp:coreProperties>
</file>